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1A209" w14:textId="77777777" w:rsidR="00C72D9C" w:rsidRPr="00C72D9C" w:rsidRDefault="00C72D9C" w:rsidP="00C72D9C">
      <w:pPr>
        <w:widowControl/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/>
          <w:b/>
          <w:color w:val="FF0000"/>
          <w:sz w:val="48"/>
          <w:szCs w:val="48"/>
        </w:rPr>
      </w:pPr>
      <w:r w:rsidRPr="00C72D9C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SPC統計製程管制實務應用訓練班</w:t>
      </w:r>
    </w:p>
    <w:p w14:paraId="116209E4" w14:textId="77777777" w:rsidR="00EC7833" w:rsidRPr="006D4EF9" w:rsidRDefault="00EC7833" w:rsidP="00C72D9C">
      <w:pPr>
        <w:widowControl/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日期：2024年</w:t>
      </w:r>
      <w:r w:rsidR="00C72D9C">
        <w:rPr>
          <w:rFonts w:ascii="微軟正黑體" w:eastAsia="微軟正黑體" w:hAnsi="微軟正黑體" w:cs="新細明體" w:hint="eastAsia"/>
          <w:b/>
          <w:kern w:val="0"/>
        </w:rPr>
        <w:t>9</w:t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/</w:t>
      </w:r>
      <w:r w:rsidR="00C72D9C">
        <w:rPr>
          <w:rFonts w:ascii="微軟正黑體" w:eastAsia="微軟正黑體" w:hAnsi="微軟正黑體" w:cs="新細明體" w:hint="eastAsia"/>
          <w:b/>
          <w:kern w:val="0"/>
        </w:rPr>
        <w:t>25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 xml:space="preserve"> (週</w:t>
      </w:r>
      <w:r w:rsidR="00C72D9C">
        <w:rPr>
          <w:rFonts w:ascii="微軟正黑體" w:eastAsia="微軟正黑體" w:hAnsi="微軟正黑體" w:cs="新細明體" w:hint="eastAsia"/>
          <w:b/>
          <w:kern w:val="0"/>
        </w:rPr>
        <w:t>三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09:00-1</w:t>
      </w:r>
      <w:r w:rsidRPr="006D4EF9">
        <w:rPr>
          <w:rFonts w:ascii="微軟正黑體" w:eastAsia="微軟正黑體" w:hAnsi="微軟正黑體" w:cs="新細明體"/>
          <w:b/>
          <w:kern w:val="0"/>
        </w:rPr>
        <w:t>7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:00</w:t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，計7小時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)。</w:t>
      </w:r>
    </w:p>
    <w:p w14:paraId="79222267" w14:textId="77777777" w:rsidR="00EC7833" w:rsidRPr="006D4EF9" w:rsidRDefault="00EC7833" w:rsidP="00C72D9C">
      <w:pPr>
        <w:widowControl/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地點：新竹班 訓練教室 (上課前一周 通知上課教室/地址)</w:t>
      </w:r>
    </w:p>
    <w:p w14:paraId="2D8EBA90" w14:textId="77777777" w:rsidR="00E75CCC" w:rsidRDefault="0047452D" w:rsidP="00E75CCC">
      <w:pPr>
        <w:widowControl/>
        <w:spacing w:beforeLines="50" w:before="180" w:line="300" w:lineRule="exact"/>
        <w:ind w:left="476" w:rightChars="-153" w:right="-367" w:hanging="47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課程介紹</w:t>
      </w:r>
    </w:p>
    <w:p w14:paraId="5797E494" w14:textId="77777777" w:rsidR="00C72D9C" w:rsidRPr="00C72D9C" w:rsidRDefault="00C72D9C" w:rsidP="00C72D9C">
      <w:pPr>
        <w:widowControl/>
        <w:spacing w:beforeLines="50" w:before="180" w:line="300" w:lineRule="exact"/>
        <w:ind w:rightChars="44" w:right="106" w:firstLine="476"/>
        <w:rPr>
          <w:rFonts w:ascii="微軟正黑體" w:eastAsia="微軟正黑體" w:hAnsi="微軟正黑體" w:cs="新細明體"/>
          <w:b/>
          <w:kern w:val="0"/>
        </w:rPr>
      </w:pPr>
      <w:r w:rsidRPr="00C72D9C">
        <w:rPr>
          <w:rFonts w:ascii="微軟正黑體" w:eastAsia="微軟正黑體" w:hAnsi="微軟正黑體" w:cs="新細明體" w:hint="eastAsia"/>
          <w:b/>
          <w:kern w:val="0"/>
        </w:rPr>
        <w:t>SPC 與其他的統計品管手法相較要容易學習，製程的操作人員應用它，可使工作更有效能與效率</w:t>
      </w:r>
      <w:proofErr w:type="gramStart"/>
      <w:r w:rsidRPr="00C72D9C">
        <w:rPr>
          <w:rFonts w:ascii="微軟正黑體" w:eastAsia="微軟正黑體" w:hAnsi="微軟正黑體" w:cs="新細明體" w:hint="eastAsia"/>
          <w:b/>
          <w:kern w:val="0"/>
        </w:rPr>
        <w:t>﹔</w:t>
      </w:r>
      <w:proofErr w:type="gramEnd"/>
      <w:r w:rsidRPr="00C72D9C">
        <w:rPr>
          <w:rFonts w:ascii="微軟正黑體" w:eastAsia="微軟正黑體" w:hAnsi="微軟正黑體" w:cs="新細明體" w:hint="eastAsia"/>
          <w:b/>
          <w:kern w:val="0"/>
        </w:rPr>
        <w:t>而管理幹部透過它，則能掌握到製程的品質。</w:t>
      </w:r>
    </w:p>
    <w:p w14:paraId="7928D96E" w14:textId="77777777" w:rsidR="00E75CCC" w:rsidRDefault="0047452D" w:rsidP="00C72D9C">
      <w:pPr>
        <w:widowControl/>
        <w:spacing w:beforeLines="50" w:before="180" w:line="300" w:lineRule="exact"/>
        <w:ind w:left="476" w:rightChars="44" w:right="106" w:hanging="47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課程效益</w:t>
      </w:r>
    </w:p>
    <w:p w14:paraId="2F2A3EBB" w14:textId="77777777" w:rsidR="00C72D9C" w:rsidRDefault="00C72D9C" w:rsidP="00C72D9C">
      <w:pPr>
        <w:widowControl/>
        <w:spacing w:beforeLines="50" w:before="180" w:line="300" w:lineRule="exact"/>
        <w:ind w:rightChars="44" w:right="106" w:firstLine="476"/>
        <w:rPr>
          <w:rFonts w:ascii="微軟正黑體" w:eastAsia="微軟正黑體" w:hAnsi="微軟正黑體" w:cs="新細明體"/>
          <w:b/>
          <w:kern w:val="0"/>
        </w:rPr>
      </w:pPr>
      <w:r w:rsidRPr="00C72D9C">
        <w:rPr>
          <w:rFonts w:ascii="微軟正黑體" w:eastAsia="微軟正黑體" w:hAnsi="微軟正黑體" w:cs="新細明體" w:hint="eastAsia"/>
          <w:b/>
          <w:kern w:val="0"/>
        </w:rPr>
        <w:t>本課程以實務應用為主，利用生活化的方式，引導學員進入統計的範疇，誘發出學員對數字管理，並運用於現場品質管制作業。</w:t>
      </w:r>
    </w:p>
    <w:p w14:paraId="02B569D3" w14:textId="77777777" w:rsidR="0047452D" w:rsidRPr="00E53272" w:rsidRDefault="0047452D" w:rsidP="00C72D9C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適合對象</w:t>
      </w:r>
    </w:p>
    <w:p w14:paraId="04A9679F" w14:textId="77777777" w:rsidR="0047452D" w:rsidRDefault="0047452D" w:rsidP="00C72D9C">
      <w:pPr>
        <w:widowControl/>
        <w:spacing w:beforeLines="50" w:before="180" w:line="300" w:lineRule="exact"/>
        <w:ind w:rightChars="44" w:right="106" w:firstLine="480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產品企劃、業務、設計、開發、採購、生產管理、品保及製造工程師、課級以上主管以及基層主管人員。</w:t>
      </w:r>
    </w:p>
    <w:p w14:paraId="71F8F96E" w14:textId="77777777" w:rsidR="0047452D" w:rsidRDefault="00E75CCC" w:rsidP="0047452D">
      <w:pPr>
        <w:widowControl/>
        <w:spacing w:afterLines="50" w:after="180" w:line="300" w:lineRule="exact"/>
        <w:ind w:rightChars="-153" w:right="-367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/>
          <w:b/>
          <w:kern w:val="0"/>
        </w:rPr>
        <w:br/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ab/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課程大綱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47452D" w:rsidRPr="00C72D9C" w14:paraId="7ED8AD72" w14:textId="77777777" w:rsidTr="00C72D9C">
        <w:tc>
          <w:tcPr>
            <w:tcW w:w="3227" w:type="dxa"/>
            <w:shd w:val="clear" w:color="auto" w:fill="FFF2CC"/>
          </w:tcPr>
          <w:p w14:paraId="7785EA68" w14:textId="77777777" w:rsidR="0047452D" w:rsidRPr="00C72D9C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Style w:val="af"/>
                <w:rFonts w:ascii="微軟正黑體" w:eastAsia="微軟正黑體" w:hAnsi="微軟正黑體" w:hint="eastAsia"/>
              </w:rPr>
              <w:t>大綱</w:t>
            </w:r>
          </w:p>
        </w:tc>
        <w:tc>
          <w:tcPr>
            <w:tcW w:w="6662" w:type="dxa"/>
            <w:shd w:val="clear" w:color="auto" w:fill="FFF2CC"/>
          </w:tcPr>
          <w:p w14:paraId="677E99A1" w14:textId="77777777" w:rsidR="0047452D" w:rsidRPr="00C72D9C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Style w:val="af"/>
                <w:rFonts w:ascii="微軟正黑體" w:eastAsia="微軟正黑體" w:hAnsi="微軟正黑體" w:hint="eastAsia"/>
              </w:rPr>
              <w:t>內容</w:t>
            </w:r>
          </w:p>
        </w:tc>
      </w:tr>
      <w:tr w:rsidR="00C72D9C" w:rsidRPr="00C72D9C" w14:paraId="21E67ED6" w14:textId="77777777" w:rsidTr="00C72D9C">
        <w:trPr>
          <w:trHeight w:val="2116"/>
        </w:trPr>
        <w:tc>
          <w:tcPr>
            <w:tcW w:w="3227" w:type="dxa"/>
            <w:shd w:val="clear" w:color="auto" w:fill="auto"/>
          </w:tcPr>
          <w:p w14:paraId="5982E732" w14:textId="77777777" w:rsidR="00C72D9C" w:rsidRPr="00C72D9C" w:rsidRDefault="00C72D9C" w:rsidP="00C72D9C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>統計製程管制基本概念</w:t>
            </w:r>
          </w:p>
        </w:tc>
        <w:tc>
          <w:tcPr>
            <w:tcW w:w="6662" w:type="dxa"/>
            <w:shd w:val="clear" w:color="auto" w:fill="auto"/>
          </w:tcPr>
          <w:p w14:paraId="0DEC61E0" w14:textId="77777777" w:rsidR="00C72D9C" w:rsidRPr="00C72D9C" w:rsidRDefault="00C72D9C" w:rsidP="00C72D9C">
            <w:pPr>
              <w:snapToGrid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>一、何謂統計製程管制</w:t>
            </w:r>
          </w:p>
          <w:p w14:paraId="407399C1" w14:textId="77777777" w:rsidR="00C72D9C" w:rsidRPr="00C72D9C" w:rsidRDefault="00C72D9C" w:rsidP="00C72D9C">
            <w:pPr>
              <w:snapToGrid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Pr="00C72D9C">
              <w:rPr>
                <w:rFonts w:ascii="微軟正黑體" w:eastAsia="微軟正黑體" w:hAnsi="微軟正黑體" w:cs="Arial"/>
                <w:b/>
              </w:rPr>
              <w:t xml:space="preserve"> </w:t>
            </w:r>
            <w:r w:rsidRPr="00C72D9C">
              <w:rPr>
                <w:rFonts w:ascii="微軟正黑體" w:eastAsia="微軟正黑體" w:hAnsi="微軟正黑體" w:cs="Arial" w:hint="eastAsia"/>
                <w:b/>
              </w:rPr>
              <w:t>(</w:t>
            </w:r>
            <w:proofErr w:type="gramStart"/>
            <w:r w:rsidRPr="00C72D9C">
              <w:rPr>
                <w:rFonts w:ascii="微軟正黑體" w:eastAsia="微軟正黑體" w:hAnsi="微軟正黑體" w:cs="Arial" w:hint="eastAsia"/>
                <w:b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 w:hint="eastAsia"/>
                <w:b/>
              </w:rPr>
              <w:t>)中衛廠於製程管制及產品品質要求之弊習</w:t>
            </w:r>
          </w:p>
          <w:p w14:paraId="2DDE509D" w14:textId="77777777" w:rsidR="00C72D9C" w:rsidRPr="00C72D9C" w:rsidRDefault="00C72D9C" w:rsidP="00C72D9C">
            <w:pPr>
              <w:snapToGrid w:val="0"/>
              <w:spacing w:line="360" w:lineRule="exact"/>
              <w:ind w:firstLineChars="100" w:firstLine="240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>(二)中心廠與衛星廠如何建立統計製程管制</w:t>
            </w:r>
          </w:p>
          <w:p w14:paraId="44C76629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>二、SPC統計基礎</w:t>
            </w:r>
          </w:p>
          <w:p w14:paraId="30A7058B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</w:t>
            </w:r>
            <w:proofErr w:type="gramStart"/>
            <w:r w:rsidRPr="00C72D9C">
              <w:rPr>
                <w:rFonts w:ascii="微軟正黑體" w:eastAsia="微軟正黑體" w:hAnsi="微軟正黑體" w:cs="Arial" w:hint="eastAsia"/>
                <w:b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 w:hint="eastAsia"/>
                <w:b/>
              </w:rPr>
              <w:t>)母體(製程)與樣本間之關係</w:t>
            </w:r>
          </w:p>
          <w:p w14:paraId="128C6663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(二)全數檢驗與抽樣檢驗之使用時機</w:t>
            </w:r>
          </w:p>
          <w:p w14:paraId="2F40A2FB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(三)抽樣計畫常使用之產品品質量度</w:t>
            </w:r>
          </w:p>
          <w:p w14:paraId="5DB947CE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(四)管制圖與常態分配之關係</w:t>
            </w:r>
          </w:p>
          <w:p w14:paraId="280494C3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(五)中央極限定理</w:t>
            </w:r>
          </w:p>
          <w:p w14:paraId="52CBB808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(六)抽樣檢驗之第一種錯誤與第二種錯誤  </w:t>
            </w:r>
          </w:p>
          <w:p w14:paraId="6C5FF7C6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(七)管制界限與兩種錯誤之關係</w:t>
            </w:r>
          </w:p>
          <w:p w14:paraId="38B16436" w14:textId="77777777" w:rsidR="00C72D9C" w:rsidRPr="00C72D9C" w:rsidRDefault="00C72D9C" w:rsidP="00C72D9C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(八)兩種錯誤之經濟平衡點</w:t>
            </w:r>
          </w:p>
          <w:p w14:paraId="085E3A12" w14:textId="77777777" w:rsidR="00C72D9C" w:rsidRPr="00C72D9C" w:rsidRDefault="00C72D9C" w:rsidP="00C72D9C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</w:rPr>
              <w:t xml:space="preserve">  (九)兩種錯誤對管制界限與平均值之關係</w:t>
            </w:r>
          </w:p>
        </w:tc>
      </w:tr>
      <w:tr w:rsidR="00C72D9C" w:rsidRPr="00C72D9C" w14:paraId="5958EFFE" w14:textId="77777777" w:rsidTr="00C72D9C">
        <w:trPr>
          <w:trHeight w:val="951"/>
        </w:trPr>
        <w:tc>
          <w:tcPr>
            <w:tcW w:w="3227" w:type="dxa"/>
            <w:shd w:val="clear" w:color="auto" w:fill="auto"/>
          </w:tcPr>
          <w:p w14:paraId="229C975C" w14:textId="77777777" w:rsidR="00C72D9C" w:rsidRPr="00C72D9C" w:rsidRDefault="00C72D9C" w:rsidP="00C72D9C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10000"/>
              </w:rPr>
              <w:t>細說管制圖</w:t>
            </w:r>
          </w:p>
        </w:tc>
        <w:tc>
          <w:tcPr>
            <w:tcW w:w="6662" w:type="dxa"/>
            <w:shd w:val="clear" w:color="auto" w:fill="auto"/>
          </w:tcPr>
          <w:p w14:paraId="6C676010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  <w:color w:val="000000"/>
              </w:rPr>
              <w:t>一</w: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、管制圖簡介</w:t>
            </w:r>
          </w:p>
          <w:p w14:paraId="54DD3621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)管制圖之歷史</w:t>
            </w:r>
          </w:p>
          <w:p w14:paraId="4572749E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(二)管制圖之認識</w:t>
            </w:r>
          </w:p>
          <w:p w14:paraId="52F0A910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(三)管制圖之功用</w:t>
            </w:r>
          </w:p>
          <w:p w14:paraId="7592B894" w14:textId="77777777" w:rsidR="00C72D9C" w:rsidRPr="00C72D9C" w:rsidRDefault="00C72D9C" w:rsidP="00C72D9C">
            <w:pPr>
              <w:widowControl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  <w:color w:val="000000"/>
              </w:rPr>
              <w:t>二</w: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、管制圖基本原理</w:t>
            </w:r>
          </w:p>
          <w:p w14:paraId="18C009F1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)管制圖之基本特性</w:t>
            </w:r>
          </w:p>
          <w:p w14:paraId="1A4A25EA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(二)管制界限之構成</w:t>
            </w:r>
          </w:p>
          <w:p w14:paraId="299D40CD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lastRenderedPageBreak/>
              <w:t>(三)管制界限的決定</w:t>
            </w:r>
          </w:p>
          <w:p w14:paraId="10CBB432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(四)規格界限與管制界限之性質</w:t>
            </w:r>
          </w:p>
          <w:p w14:paraId="71CC8CB8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(五)規格界限與管制界限之比較</w:t>
            </w:r>
          </w:p>
          <w:p w14:paraId="4F3F75A4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(六)管制圖的種類</w:t>
            </w:r>
          </w:p>
          <w:p w14:paraId="5090E5BA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(七)計量值與計數值管制圖之優缺點</w:t>
            </w:r>
          </w:p>
          <w:p w14:paraId="61C9DF8B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(八)依管制圖之用途來分類及繪製流程</w:t>
            </w:r>
          </w:p>
          <w:p w14:paraId="1891C292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(九)管制圖應用步驟</w:t>
            </w:r>
          </w:p>
          <w:p w14:paraId="2AE2242C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(十)實施管制圖計劃的原則</w:t>
            </w:r>
          </w:p>
          <w:p w14:paraId="40926A40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(十一)選擇適當型式的管制圖</w:t>
            </w:r>
          </w:p>
          <w:p w14:paraId="4C02F0EA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(十二)管制圖使用注意事項</w:t>
            </w:r>
          </w:p>
          <w:p w14:paraId="27E12EC8" w14:textId="77777777" w:rsidR="00C72D9C" w:rsidRPr="00C72D9C" w:rsidRDefault="00C72D9C" w:rsidP="00C72D9C">
            <w:pPr>
              <w:widowControl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  <w:color w:val="000000"/>
              </w:rPr>
              <w:t>三</w: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、計量值管制圖範例與討論</w:t>
            </w:r>
          </w:p>
          <w:p w14:paraId="04CC661B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</w:t>
            </w:r>
            <w:r w:rsidRPr="00C72D9C">
              <w:rPr>
                <w:rFonts w:ascii="微軟正黑體" w:eastAsia="微軟正黑體" w:hAnsi="微軟正黑體" w:cs="Arial"/>
                <w:b/>
              </w:rPr>
              <w:t xml:space="preserve"> </w:t>
            </w:r>
            <w:r w:rsidRPr="00C72D9C">
              <w:rPr>
                <w:rFonts w:ascii="微軟正黑體" w:eastAsia="微軟正黑體" w:hAnsi="微軟正黑體" w:cs="Arial"/>
                <w:b/>
                <w:position w:val="-4"/>
              </w:rPr>
              <w:object w:dxaOrig="279" w:dyaOrig="340" w14:anchorId="2C768902">
                <v:shape id="_x0000_i1026" type="#_x0000_t75" style="width:14.25pt;height:16.5pt" o:ole="">
                  <v:imagedata r:id="rId8" o:title=""/>
                </v:shape>
                <o:OLEObject Type="Embed" ProgID="Equation.3" ShapeID="_x0000_i1026" DrawAspect="Content" ObjectID="_1769676993" r:id="rId9"/>
              </w:objec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-R Chart (平均值-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全距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 管制圖</w:t>
            </w:r>
          </w:p>
          <w:p w14:paraId="3075DD2C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(二)</w:t>
            </w:r>
            <w:r w:rsidRPr="00C72D9C">
              <w:rPr>
                <w:rFonts w:ascii="微軟正黑體" w:eastAsia="微軟正黑體" w:hAnsi="微軟正黑體" w:cs="Arial"/>
                <w:b/>
              </w:rPr>
              <w:t xml:space="preserve"> </w:t>
            </w:r>
            <w:r w:rsidRPr="00C72D9C">
              <w:rPr>
                <w:rFonts w:ascii="微軟正黑體" w:eastAsia="微軟正黑體" w:hAnsi="微軟正黑體" w:cs="Arial"/>
                <w:b/>
                <w:position w:val="-4"/>
              </w:rPr>
              <w:object w:dxaOrig="279" w:dyaOrig="340" w14:anchorId="5A72E558">
                <v:shape id="_x0000_i1027" type="#_x0000_t75" style="width:14.25pt;height:16.5pt" o:ole="">
                  <v:imagedata r:id="rId8" o:title=""/>
                </v:shape>
                <o:OLEObject Type="Embed" ProgID="Equation.3" ShapeID="_x0000_i1027" DrawAspect="Content" ObjectID="_1769676994" r:id="rId10"/>
              </w:objec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-σ (平均值-標準差) 管制圖</w:t>
            </w:r>
          </w:p>
          <w:p w14:paraId="34B29FC6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(三)</w:t>
            </w:r>
            <w:r w:rsidRPr="00C72D9C">
              <w:rPr>
                <w:rFonts w:ascii="微軟正黑體" w:eastAsia="微軟正黑體" w:hAnsi="微軟正黑體" w:cs="Arial"/>
                <w:b/>
              </w:rPr>
              <w:t xml:space="preserve"> </w:t>
            </w:r>
            <w:r w:rsidRPr="00C72D9C">
              <w:rPr>
                <w:rFonts w:ascii="微軟正黑體" w:eastAsia="微軟正黑體" w:hAnsi="微軟正黑體" w:cs="Arial"/>
                <w:b/>
                <w:position w:val="-4"/>
              </w:rPr>
              <w:object w:dxaOrig="260" w:dyaOrig="320" w14:anchorId="04D55616">
                <v:shape id="_x0000_i1028" type="#_x0000_t75" style="width:15.75pt;height:18.75pt" o:ole="">
                  <v:imagedata r:id="rId11" o:title=""/>
                </v:shape>
                <o:OLEObject Type="Embed" ProgID="Equation.3" ShapeID="_x0000_i1028" DrawAspect="Content" ObjectID="_1769676995" r:id="rId12"/>
              </w:objec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-R (中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位值-全距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 管制圖</w:t>
            </w:r>
          </w:p>
          <w:p w14:paraId="43A85103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(四) X- Rm (個別值-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移動全距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 管制圖</w:t>
            </w:r>
          </w:p>
          <w:p w14:paraId="2B38B104" w14:textId="77777777" w:rsidR="00C72D9C" w:rsidRPr="00C72D9C" w:rsidRDefault="00C72D9C" w:rsidP="00C72D9C">
            <w:pPr>
              <w:widowControl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  <w:color w:val="000000"/>
              </w:rPr>
              <w:t>四</w: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、計數值管制圖範例與討論</w:t>
            </w:r>
          </w:p>
          <w:p w14:paraId="38EBA086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)p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–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Chart(不良率管制圖)</w:t>
            </w:r>
          </w:p>
          <w:p w14:paraId="427A05C1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(二)不良數管制圖(</w:t>
            </w:r>
            <w:proofErr w:type="spell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pn</w:t>
            </w:r>
            <w:proofErr w:type="spell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-Chart ;d–Chart)</w:t>
            </w:r>
          </w:p>
          <w:p w14:paraId="5E3B851E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(三)缺點數管制圖(C-Chart )</w:t>
            </w:r>
          </w:p>
          <w:p w14:paraId="2C6EBF18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(四)單位缺點數管制圖(u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–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Chart )</w:t>
            </w:r>
          </w:p>
          <w:p w14:paraId="2FA5C47A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(五)四種計數值管制圖之特性比較</w:t>
            </w:r>
          </w:p>
          <w:p w14:paraId="056F3E1C" w14:textId="77777777" w:rsidR="00C72D9C" w:rsidRPr="00C72D9C" w:rsidRDefault="00C72D9C" w:rsidP="00C72D9C">
            <w:pPr>
              <w:widowControl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  <w:color w:val="000000"/>
              </w:rPr>
              <w:t>五</w: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、管制圖的檢定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規則</w:t>
            </w:r>
            <w:r w:rsidRPr="00C72D9C">
              <w:rPr>
                <w:rFonts w:ascii="微軟正黑體" w:eastAsia="微軟正黑體" w:hAnsi="微軟正黑體" w:cs="Arial" w:hint="eastAsia"/>
                <w:b/>
                <w:color w:val="000000"/>
              </w:rPr>
              <w:t>與判讀</w:t>
            </w:r>
            <w:proofErr w:type="gramEnd"/>
          </w:p>
          <w:p w14:paraId="17AE7E15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)正常之管制圖</w:t>
            </w:r>
          </w:p>
          <w:p w14:paraId="1C27B12A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(二)不正常之管制圖之特性</w:t>
            </w:r>
          </w:p>
          <w:p w14:paraId="39C46150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(三)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管制圖不穩定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型態之檢定方法</w:t>
            </w:r>
          </w:p>
          <w:p w14:paraId="3DD617B9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Fonts w:ascii="微軟正黑體" w:eastAsia="微軟正黑體" w:hAnsi="微軟正黑體" w:cs="Arial" w:hint="eastAsia"/>
                <w:b/>
                <w:color w:val="000000"/>
              </w:rPr>
              <w:t>(四)</w:t>
            </w: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矯正與改善行動</w:t>
            </w:r>
          </w:p>
        </w:tc>
      </w:tr>
      <w:tr w:rsidR="00C72D9C" w:rsidRPr="00C72D9C" w14:paraId="6B9621A2" w14:textId="77777777" w:rsidTr="00C72D9C">
        <w:tc>
          <w:tcPr>
            <w:tcW w:w="3227" w:type="dxa"/>
            <w:shd w:val="clear" w:color="auto" w:fill="auto"/>
          </w:tcPr>
          <w:p w14:paraId="43FBD0AB" w14:textId="77777777" w:rsidR="00C72D9C" w:rsidRPr="00C72D9C" w:rsidRDefault="00C72D9C" w:rsidP="00C72D9C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lastRenderedPageBreak/>
              <w:t>製程能力分析</w:t>
            </w:r>
          </w:p>
        </w:tc>
        <w:tc>
          <w:tcPr>
            <w:tcW w:w="6662" w:type="dxa"/>
            <w:shd w:val="clear" w:color="auto" w:fill="auto"/>
          </w:tcPr>
          <w:p w14:paraId="2E811174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一、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直方圖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(Histogram)的原理與運用</w:t>
            </w:r>
          </w:p>
          <w:p w14:paraId="2887671C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)何謂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直方圖</w:t>
            </w:r>
            <w:proofErr w:type="gramEnd"/>
          </w:p>
          <w:p w14:paraId="6D8B5A16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(二)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直方圖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的用途</w:t>
            </w:r>
          </w:p>
          <w:p w14:paraId="160BF1AF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(三)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直方圖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的製作</w:t>
            </w:r>
          </w:p>
          <w:p w14:paraId="63438B6E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二、製程能力的分析與評價</w:t>
            </w:r>
          </w:p>
          <w:p w14:paraId="3148F864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</w:t>
            </w:r>
            <w:proofErr w:type="gram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一</w:t>
            </w:r>
            <w:proofErr w:type="gram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)何謂製程能力</w:t>
            </w:r>
          </w:p>
          <w:p w14:paraId="576DF0B7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(二)製程能力分析之效益</w:t>
            </w:r>
          </w:p>
          <w:p w14:paraId="2FB874E6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(三)製程能力分析(評價)時機</w:t>
            </w:r>
          </w:p>
          <w:p w14:paraId="52695BEB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(四)製程能力分析(評價)用途</w:t>
            </w:r>
          </w:p>
          <w:p w14:paraId="2EF82156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 xml:space="preserve">  (五)製程準確度指數Ca的意義、計算與判斷標準</w:t>
            </w:r>
          </w:p>
          <w:p w14:paraId="0023A75A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(六)製程精密度Cp的意義、計算與判斷標準</w:t>
            </w:r>
          </w:p>
          <w:p w14:paraId="72D7E9A1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left="-36"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(七)製程能力指數</w:t>
            </w:r>
            <w:proofErr w:type="spell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Cpk</w:t>
            </w:r>
            <w:proofErr w:type="spell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的意義、計算與判斷標準</w:t>
            </w:r>
          </w:p>
          <w:p w14:paraId="602ABFB2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firstLineChars="100" w:firstLine="240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lastRenderedPageBreak/>
              <w:t>(八) Pp、</w:t>
            </w:r>
            <w:proofErr w:type="spellStart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Ppk</w:t>
            </w:r>
            <w:proofErr w:type="spellEnd"/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計算與判斷標準</w:t>
            </w:r>
          </w:p>
          <w:p w14:paraId="630901C7" w14:textId="77777777" w:rsidR="00C72D9C" w:rsidRPr="00C72D9C" w:rsidRDefault="00C72D9C" w:rsidP="00C72D9C">
            <w:pPr>
              <w:widowControl/>
              <w:snapToGrid w:val="0"/>
              <w:spacing w:line="360" w:lineRule="exact"/>
              <w:ind w:firstLineChars="100" w:firstLine="240"/>
              <w:jc w:val="both"/>
              <w:rPr>
                <w:rStyle w:val="af"/>
                <w:rFonts w:ascii="微軟正黑體" w:eastAsia="微軟正黑體" w:hAnsi="微軟正黑體"/>
              </w:rPr>
            </w:pPr>
            <w:r w:rsidRPr="00C72D9C">
              <w:rPr>
                <w:rFonts w:ascii="微軟正黑體" w:eastAsia="微軟正黑體" w:hAnsi="微軟正黑體" w:cs="Arial"/>
                <w:b/>
                <w:color w:val="000000"/>
              </w:rPr>
              <w:t>(九)製程能力的改善</w:t>
            </w:r>
          </w:p>
        </w:tc>
      </w:tr>
    </w:tbl>
    <w:p w14:paraId="799524BB" w14:textId="77777777" w:rsidR="008E2FEE" w:rsidRDefault="008E2FEE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</w:p>
    <w:p w14:paraId="69AF14E4" w14:textId="77777777" w:rsidR="00EC7833" w:rsidRPr="00E75CCC" w:rsidRDefault="00EC7833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課程講師 :</w:t>
      </w:r>
      <w:r w:rsidR="001C5330" w:rsidRPr="00E75CCC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黃老師</w:t>
      </w:r>
    </w:p>
    <w:p w14:paraId="7CC14B83" w14:textId="77777777" w:rsidR="00EC7833" w:rsidRPr="001C5330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/>
          <w:bCs/>
          <w:sz w:val="26"/>
          <w:szCs w:val="26"/>
        </w:rPr>
      </w:pP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學歷: 澳洲國立南澳大學 產業製造管理所</w:t>
      </w:r>
      <w:r w:rsidR="00E75CCC" w:rsidRPr="00E75CCC">
        <w:rPr>
          <w:rFonts w:ascii="微軟正黑體" w:eastAsia="微軟正黑體" w:hAnsi="微軟正黑體" w:cs="新細明體"/>
          <w:b/>
          <w:color w:val="000000"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現職/經歷: 工業技術研究院 產業學院特聘講師。中華汽車品質管理部車輛</w:t>
      </w:r>
      <w:proofErr w:type="gramStart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評價課組專員</w:t>
      </w:r>
      <w:proofErr w:type="gramEnd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。中華汽車人才培訓中心品質管理課程專任講師/輔導顧問。中華汽車QCC</w:t>
      </w:r>
      <w:proofErr w:type="gramStart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圈員</w:t>
      </w:r>
      <w:proofErr w:type="gramEnd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/圈長/輔導員/評審員訓練內部講師。中華汽車QC七大手法/新QC七大手法/8D Process訓練內部講師。中華汽車 ISO 9001 / TS16949 / ISO 14001內部稽核員。現場品質管理活動輔導、現場品質管理、APQP、FMEA、SPC、5S、進料品質管制訓練、問題發現/解決程序及手法的應用、</w:t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ISO/TS16949品質管理實務運用…具有20年以上現場工作實務經驗。</w:t>
      </w:r>
      <w:r w:rsidR="00E75CCC" w:rsidRPr="00E75CCC">
        <w:rPr>
          <w:rFonts w:ascii="微軟正黑體" w:eastAsia="微軟正黑體" w:hAnsi="微軟正黑體" w:cs="新細明體"/>
          <w:b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專長課程: </w:t>
      </w:r>
      <w:r w:rsidR="00E75CCC"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QC七大手法訓練、新QC七大手法訓練、新舊QC七大手法之實務運用、統計製程管制(SPC)、QCC圈長與輔導員訓練、問題發現/解決程序及手法的應用、TRIZ創新問題解決、QFD與FMEA之應用、</w:t>
      </w:r>
      <w:proofErr w:type="gramStart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防呆防誤組</w:t>
      </w:r>
      <w:proofErr w:type="gramEnd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訓練、如何落實進料檢驗與進料品質管制作業、工作計畫執行與檢核、品管圈活動輔導.</w:t>
      </w:r>
      <w:r w:rsidRPr="001C5330">
        <w:rPr>
          <w:rFonts w:ascii="微軟正黑體" w:eastAsia="微軟正黑體" w:hAnsi="微軟正黑體" w:cs="新細明體"/>
          <w:bCs/>
          <w:color w:val="000000"/>
          <w:kern w:val="0"/>
        </w:rPr>
        <w:br w:type="page"/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lastRenderedPageBreak/>
        <w:t>【報名諮詢】</w:t>
      </w:r>
    </w:p>
    <w:p w14:paraId="1E7AD4E2" w14:textId="77777777" w:rsidR="00EC7833" w:rsidRPr="001C5330" w:rsidRDefault="00EC7833" w:rsidP="00EC7833">
      <w:pPr>
        <w:pStyle w:val="ae"/>
        <w:numPr>
          <w:ilvl w:val="0"/>
          <w:numId w:val="24"/>
        </w:numPr>
        <w:snapToGrid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日期：2</w:t>
      </w:r>
      <w:r w:rsidR="0047452D" w:rsidRPr="006D4EF9">
        <w:rPr>
          <w:rFonts w:ascii="微軟正黑體" w:eastAsia="微軟正黑體" w:hAnsi="微軟正黑體" w:cs="新細明體" w:hint="eastAsia"/>
          <w:b/>
        </w:rPr>
        <w:t>2024年</w:t>
      </w:r>
      <w:r w:rsidR="00C72D9C">
        <w:rPr>
          <w:rFonts w:ascii="微軟正黑體" w:eastAsia="微軟正黑體" w:hAnsi="微軟正黑體" w:cs="新細明體" w:hint="eastAsia"/>
          <w:b/>
        </w:rPr>
        <w:t>9</w:t>
      </w:r>
      <w:r w:rsidR="008E2FEE" w:rsidRPr="008E2FEE">
        <w:rPr>
          <w:rFonts w:ascii="微軟正黑體" w:eastAsia="微軟正黑體" w:hAnsi="微軟正黑體" w:cs="新細明體" w:hint="eastAsia"/>
          <w:b/>
        </w:rPr>
        <w:t>/</w:t>
      </w:r>
      <w:r w:rsidR="00C72D9C">
        <w:rPr>
          <w:rFonts w:ascii="微軟正黑體" w:eastAsia="微軟正黑體" w:hAnsi="微軟正黑體" w:cs="新細明體"/>
          <w:b/>
        </w:rPr>
        <w:t>25</w:t>
      </w:r>
      <w:r w:rsidR="008E2FEE" w:rsidRPr="008E2FEE">
        <w:rPr>
          <w:rFonts w:ascii="微軟正黑體" w:eastAsia="微軟正黑體" w:hAnsi="微軟正黑體" w:cs="新細明體" w:hint="eastAsia"/>
          <w:b/>
        </w:rPr>
        <w:t xml:space="preserve"> (週</w:t>
      </w:r>
      <w:r w:rsidR="00C72D9C">
        <w:rPr>
          <w:rFonts w:ascii="微軟正黑體" w:eastAsia="微軟正黑體" w:hAnsi="微軟正黑體" w:cs="新細明體" w:hint="eastAsia"/>
          <w:b/>
        </w:rPr>
        <w:t xml:space="preserve">三 </w:t>
      </w:r>
      <w:r w:rsidR="0047452D" w:rsidRPr="006D4EF9">
        <w:rPr>
          <w:rFonts w:ascii="微軟正黑體" w:eastAsia="微軟正黑體" w:hAnsi="微軟正黑體" w:cs="新細明體" w:hint="eastAsia"/>
          <w:b/>
        </w:rPr>
        <w:t>09:00-1</w:t>
      </w:r>
      <w:r w:rsidR="0047452D" w:rsidRPr="006D4EF9">
        <w:rPr>
          <w:rFonts w:ascii="微軟正黑體" w:eastAsia="微軟正黑體" w:hAnsi="微軟正黑體" w:cs="新細明體"/>
          <w:b/>
        </w:rPr>
        <w:t>7</w:t>
      </w:r>
      <w:r w:rsidR="0047452D" w:rsidRPr="006D4EF9">
        <w:rPr>
          <w:rFonts w:ascii="微軟正黑體" w:eastAsia="微軟正黑體" w:hAnsi="微軟正黑體" w:cs="新細明體" w:hint="eastAsia"/>
          <w:b/>
        </w:rPr>
        <w:t>:00</w:t>
      </w:r>
      <w:r w:rsidR="0047452D">
        <w:rPr>
          <w:rFonts w:ascii="微軟正黑體" w:eastAsia="微軟正黑體" w:hAnsi="微軟正黑體" w:cs="新細明體" w:hint="eastAsia"/>
          <w:b/>
        </w:rPr>
        <w:t>，計7小時</w:t>
      </w:r>
      <w:r w:rsidR="0047452D" w:rsidRPr="006D4EF9">
        <w:rPr>
          <w:rFonts w:ascii="微軟正黑體" w:eastAsia="微軟正黑體" w:hAnsi="微軟正黑體" w:cs="新細明體" w:hint="eastAsia"/>
          <w:b/>
        </w:rPr>
        <w:t>)。</w:t>
      </w:r>
    </w:p>
    <w:p w14:paraId="694591FB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地點：新竹班 訓練教室 (上課前一周 通知上課教室/地址)</w:t>
      </w:r>
    </w:p>
    <w:p w14:paraId="2CFE26A6" w14:textId="15B70C2B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報名方式：</w:t>
      </w:r>
      <w:hyperlink r:id="rId13" w:history="1">
        <w:r w:rsidRPr="008C7515">
          <w:rPr>
            <w:rStyle w:val="a8"/>
            <w:rFonts w:ascii="微軟正黑體" w:eastAsia="微軟正黑體" w:hAnsi="微軟正黑體" w:cs="Arial" w:hint="eastAsia"/>
            <w:bCs/>
            <w:highlight w:val="yellow"/>
          </w:rPr>
          <w:t>線上報</w:t>
        </w:r>
        <w:r w:rsidRPr="008C7515">
          <w:rPr>
            <w:rStyle w:val="a8"/>
            <w:rFonts w:ascii="微軟正黑體" w:eastAsia="微軟正黑體" w:hAnsi="微軟正黑體" w:cs="Arial" w:hint="eastAsia"/>
            <w:bCs/>
            <w:highlight w:val="yellow"/>
          </w:rPr>
          <w:t>名</w:t>
        </w:r>
      </w:hyperlink>
      <w:r w:rsidRPr="001C5330">
        <w:rPr>
          <w:rFonts w:ascii="微軟正黑體" w:eastAsia="微軟正黑體" w:hAnsi="微軟正黑體" w:cs="Arial" w:hint="eastAsia"/>
          <w:bCs/>
          <w:color w:val="FF0000"/>
        </w:rPr>
        <w:t xml:space="preserve"> </w:t>
      </w:r>
      <w:r w:rsidRPr="001C5330">
        <w:rPr>
          <w:rFonts w:ascii="微軟正黑體" w:eastAsia="微軟正黑體" w:hAnsi="微軟正黑體" w:cs="Arial" w:hint="eastAsia"/>
          <w:bCs/>
        </w:rPr>
        <w:t>填寫報名表。或請</w:t>
      </w:r>
      <w:r w:rsidRPr="001C5330">
        <w:rPr>
          <w:rFonts w:ascii="微軟正黑體" w:eastAsia="微軟正黑體" w:hAnsi="微軟正黑體" w:cs="新細明體" w:hint="eastAsia"/>
          <w:bCs/>
        </w:rPr>
        <w:t>填妥報名表後，</w:t>
      </w:r>
      <w:r w:rsidRPr="001C5330">
        <w:rPr>
          <w:rFonts w:ascii="微軟正黑體" w:eastAsia="微軟正黑體" w:hAnsi="微軟正黑體" w:cs="新細明體"/>
          <w:bCs/>
        </w:rPr>
        <w:t>Email</w:t>
      </w:r>
      <w:r w:rsidRPr="001C5330">
        <w:rPr>
          <w:rFonts w:ascii="微軟正黑體" w:eastAsia="微軟正黑體" w:hAnsi="微軟正黑體" w:cs="新細明體" w:hint="eastAsia"/>
          <w:bCs/>
        </w:rPr>
        <w:t>至</w:t>
      </w: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bCs/>
        </w:rPr>
        <w:t>service@ssi.org.tw</w:t>
      </w:r>
    </w:p>
    <w:p w14:paraId="2D1D6754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學會電話：（</w:t>
      </w:r>
      <w:r w:rsidRPr="001C5330">
        <w:rPr>
          <w:rFonts w:ascii="微軟正黑體" w:eastAsia="微軟正黑體" w:hAnsi="微軟正黑體" w:cs="新細明體"/>
          <w:bCs/>
        </w:rPr>
        <w:t>03</w:t>
      </w:r>
      <w:r w:rsidRPr="001C5330">
        <w:rPr>
          <w:rFonts w:ascii="微軟正黑體" w:eastAsia="微軟正黑體" w:hAnsi="微軟正黑體" w:cs="新細明體" w:hint="eastAsia"/>
          <w:bCs/>
        </w:rPr>
        <w:t>）</w:t>
      </w:r>
      <w:r w:rsidRPr="001C5330">
        <w:rPr>
          <w:rFonts w:ascii="微軟正黑體" w:eastAsia="微軟正黑體" w:hAnsi="微軟正黑體" w:cs="新細明體"/>
          <w:bCs/>
        </w:rPr>
        <w:t xml:space="preserve">572-3200  </w:t>
      </w:r>
      <w:r w:rsidRPr="001C5330">
        <w:rPr>
          <w:rFonts w:ascii="微軟正黑體" w:eastAsia="微軟正黑體" w:hAnsi="微軟正黑體" w:cs="新細明體" w:hint="eastAsia"/>
          <w:bCs/>
        </w:rPr>
        <w:t>學會地址：</w:t>
      </w:r>
      <w:r w:rsidRPr="001C5330">
        <w:rPr>
          <w:rFonts w:ascii="微軟正黑體" w:eastAsia="微軟正黑體" w:hAnsi="微軟正黑體" w:cs="新細明體"/>
          <w:bCs/>
        </w:rPr>
        <w:t>30071</w:t>
      </w:r>
      <w:r w:rsidRPr="001C5330">
        <w:rPr>
          <w:rFonts w:ascii="微軟正黑體" w:eastAsia="微軟正黑體" w:hAnsi="微軟正黑體" w:cs="新細明體" w:hint="eastAsia"/>
          <w:bCs/>
        </w:rPr>
        <w:t>新竹市光復路二段</w:t>
      </w:r>
      <w:r w:rsidRPr="001C5330">
        <w:rPr>
          <w:rFonts w:ascii="微軟正黑體" w:eastAsia="微軟正黑體" w:hAnsi="微軟正黑體" w:cs="新細明體"/>
          <w:bCs/>
        </w:rPr>
        <w:t>352</w:t>
      </w:r>
      <w:r w:rsidRPr="001C5330">
        <w:rPr>
          <w:rFonts w:ascii="微軟正黑體" w:eastAsia="微軟正黑體" w:hAnsi="微軟正黑體" w:cs="新細明體" w:hint="eastAsia"/>
          <w:bCs/>
        </w:rPr>
        <w:t>號</w:t>
      </w:r>
      <w:r w:rsidRPr="001C5330">
        <w:rPr>
          <w:rFonts w:ascii="微軟正黑體" w:eastAsia="微軟正黑體" w:hAnsi="微軟正黑體" w:cs="新細明體"/>
          <w:bCs/>
        </w:rPr>
        <w:t>6</w:t>
      </w:r>
      <w:r w:rsidRPr="001C5330">
        <w:rPr>
          <w:rFonts w:ascii="微軟正黑體" w:eastAsia="微軟正黑體" w:hAnsi="微軟正黑體" w:cs="新細明體" w:hint="eastAsia"/>
          <w:bCs/>
        </w:rPr>
        <w:t>樓</w:t>
      </w:r>
    </w:p>
    <w:p w14:paraId="5C11BDC2" w14:textId="77777777" w:rsidR="00EC7833" w:rsidRPr="001C5330" w:rsidRDefault="00EC7833" w:rsidP="00EC7833">
      <w:pPr>
        <w:pStyle w:val="ae"/>
        <w:widowControl w:val="0"/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</w:p>
    <w:p w14:paraId="2FA996D1" w14:textId="77777777" w:rsidR="00EC7833" w:rsidRPr="001C5330" w:rsidRDefault="00EC7833" w:rsidP="00EC7833">
      <w:pPr>
        <w:pStyle w:val="ae"/>
        <w:snapToGrid w:val="0"/>
        <w:ind w:left="0"/>
        <w:rPr>
          <w:rFonts w:ascii="微軟正黑體" w:eastAsia="微軟正黑體" w:hAnsi="微軟正黑體"/>
          <w:bCs/>
          <w:sz w:val="26"/>
          <w:szCs w:val="26"/>
        </w:rPr>
      </w:pP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t>【報名表】</w:t>
      </w:r>
    </w:p>
    <w:tbl>
      <w:tblPr>
        <w:tblW w:w="9848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2295"/>
        <w:gridCol w:w="858"/>
        <w:gridCol w:w="872"/>
        <w:gridCol w:w="1268"/>
        <w:gridCol w:w="939"/>
        <w:gridCol w:w="2410"/>
      </w:tblGrid>
      <w:tr w:rsidR="00EC7833" w:rsidRPr="001C5330" w14:paraId="0F26DC4A" w14:textId="77777777" w:rsidTr="001C5330">
        <w:trPr>
          <w:cantSplit/>
          <w:trHeight w:val="527"/>
        </w:trPr>
        <w:tc>
          <w:tcPr>
            <w:tcW w:w="9848" w:type="dxa"/>
            <w:gridSpan w:val="7"/>
            <w:vAlign w:val="center"/>
          </w:tcPr>
          <w:p w14:paraId="180B9384" w14:textId="77777777" w:rsidR="00EC7833" w:rsidRPr="001C5330" w:rsidRDefault="00C72D9C" w:rsidP="00EC7833">
            <w:pPr>
              <w:snapToGrid w:val="0"/>
              <w:ind w:leftChars="3" w:left="7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36"/>
                <w:szCs w:val="36"/>
              </w:rPr>
            </w:pPr>
            <w:r w:rsidRPr="00C72D9C">
              <w:rPr>
                <w:rFonts w:ascii="微軟正黑體" w:eastAsia="微軟正黑體" w:hAnsi="微軟正黑體" w:hint="eastAsia"/>
                <w:bCs/>
                <w:color w:val="FF0000"/>
                <w:sz w:val="36"/>
                <w:szCs w:val="36"/>
              </w:rPr>
              <w:t>SPC統計製程管制實務應用訓練班</w:t>
            </w:r>
            <w:r w:rsidR="00EC7833" w:rsidRPr="001C5330">
              <w:rPr>
                <w:rFonts w:ascii="微軟正黑體" w:eastAsia="微軟正黑體" w:hAnsi="微軟正黑體"/>
                <w:bCs/>
                <w:color w:val="FF0000"/>
                <w:sz w:val="36"/>
                <w:szCs w:val="36"/>
              </w:rPr>
              <w:t xml:space="preserve"> </w:t>
            </w:r>
            <w:r w:rsidR="00EC7833" w:rsidRPr="001C5330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(</w:t>
            </w:r>
            <w:r w:rsidR="00EC7833" w:rsidRPr="001C5330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</w:rPr>
              <w:t>新竹班</w:t>
            </w:r>
            <w:r w:rsidR="00EC7833" w:rsidRPr="001C5330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EC7833" w:rsidRPr="001C5330" w14:paraId="01086030" w14:textId="77777777" w:rsidTr="001C5330">
        <w:trPr>
          <w:cantSplit/>
          <w:trHeight w:val="669"/>
        </w:trPr>
        <w:tc>
          <w:tcPr>
            <w:tcW w:w="1206" w:type="dxa"/>
            <w:vAlign w:val="center"/>
            <w:hideMark/>
          </w:tcPr>
          <w:p w14:paraId="60DDB23C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295" w:type="dxa"/>
            <w:vAlign w:val="center"/>
          </w:tcPr>
          <w:p w14:paraId="340BA035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3D0DE71F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5968703E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16A6EE84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1D18F85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61FB4EBC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1B3638CD" w14:textId="77777777" w:rsidTr="001C5330">
        <w:trPr>
          <w:cantSplit/>
          <w:trHeight w:val="761"/>
        </w:trPr>
        <w:tc>
          <w:tcPr>
            <w:tcW w:w="1206" w:type="dxa"/>
            <w:vAlign w:val="center"/>
            <w:hideMark/>
          </w:tcPr>
          <w:p w14:paraId="395EB567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公司/單位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295" w:type="dxa"/>
            <w:vAlign w:val="center"/>
          </w:tcPr>
          <w:p w14:paraId="01621175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2A4456B3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1ABED66A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26346721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43652B2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299B569E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0A2DCB5F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025" w:type="dxa"/>
            <w:gridSpan w:val="3"/>
            <w:vAlign w:val="center"/>
          </w:tcPr>
          <w:p w14:paraId="19DFA626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33F5C0D8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49" w:type="dxa"/>
            <w:gridSpan w:val="2"/>
            <w:vAlign w:val="center"/>
          </w:tcPr>
          <w:p w14:paraId="75F3EB6B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1745F083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4756B0DB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8642" w:type="dxa"/>
            <w:gridSpan w:val="6"/>
            <w:vAlign w:val="center"/>
          </w:tcPr>
          <w:p w14:paraId="63CBAA02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41584400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712886A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8642" w:type="dxa"/>
            <w:gridSpan w:val="6"/>
            <w:vAlign w:val="center"/>
            <w:hideMark/>
          </w:tcPr>
          <w:p w14:paraId="3AC20C22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EC7833" w:rsidRPr="001C5330" w14:paraId="17D56F0F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7235910F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8642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0C0ADD38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EC7833" w:rsidRPr="001C5330" w14:paraId="0E1F9020" w14:textId="77777777" w:rsidTr="001C5330">
        <w:trPr>
          <w:cantSplit/>
          <w:trHeight w:val="646"/>
        </w:trPr>
        <w:tc>
          <w:tcPr>
            <w:tcW w:w="1206" w:type="dxa"/>
            <w:tcBorders>
              <w:right w:val="single" w:sz="8" w:space="0" w:color="auto"/>
            </w:tcBorders>
            <w:vAlign w:val="center"/>
            <w:hideMark/>
          </w:tcPr>
          <w:p w14:paraId="7212516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</w:p>
        </w:tc>
        <w:tc>
          <w:tcPr>
            <w:tcW w:w="86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C932FC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   □學會電子報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□Line組群  □學會FB專頁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18B5B64E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□其他:_________</w:t>
            </w:r>
          </w:p>
        </w:tc>
      </w:tr>
      <w:tr w:rsidR="00EC7833" w:rsidRPr="001C5330" w14:paraId="6E951B63" w14:textId="77777777" w:rsidTr="001C5330">
        <w:trPr>
          <w:cantSplit/>
          <w:trHeight w:val="243"/>
        </w:trPr>
        <w:tc>
          <w:tcPr>
            <w:tcW w:w="1206" w:type="dxa"/>
            <w:vAlign w:val="center"/>
          </w:tcPr>
          <w:p w14:paraId="6BE8E188" w14:textId="77777777" w:rsidR="00EC7833" w:rsidRPr="001C5330" w:rsidRDefault="001C5330" w:rsidP="001C5330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FF0000"/>
              </w:rPr>
            </w:pPr>
            <w:r>
              <w:rPr>
                <w:rFonts w:ascii="微軟正黑體" w:eastAsia="微軟正黑體" w:hAnsi="微軟正黑體" w:cs="Calibri" w:hint="eastAsia"/>
                <w:bCs/>
                <w:color w:val="FF0000"/>
              </w:rPr>
              <w:t xml:space="preserve"> </w:t>
            </w:r>
            <w:r w:rsidR="00EC7833" w:rsidRPr="001C5330">
              <w:rPr>
                <w:rFonts w:ascii="微軟正黑體" w:eastAsia="微軟正黑體" w:hAnsi="微軟正黑體" w:cs="Calibri" w:hint="eastAsia"/>
                <w:bCs/>
                <w:color w:val="FF0000"/>
              </w:rPr>
              <w:t>課程費用</w:t>
            </w:r>
          </w:p>
        </w:tc>
        <w:tc>
          <w:tcPr>
            <w:tcW w:w="8642" w:type="dxa"/>
            <w:gridSpan w:val="6"/>
            <w:vAlign w:val="center"/>
          </w:tcPr>
          <w:p w14:paraId="60210A4D" w14:textId="77777777" w:rsidR="00EC7833" w:rsidRPr="001C5330" w:rsidRDefault="00EC7833">
            <w:pPr>
              <w:snapToGrid w:val="0"/>
              <w:rPr>
                <w:rFonts w:ascii="微軟正黑體" w:eastAsia="微軟正黑體" w:hAnsi="微軟正黑體" w:cs="Calibri"/>
                <w:bCs/>
                <w:color w:val="FF0000"/>
              </w:rPr>
            </w:pPr>
            <w:r w:rsidRPr="001C5330">
              <w:rPr>
                <w:rFonts w:ascii="標楷體" w:eastAsia="標楷體" w:hAnsi="標楷體" w:hint="eastAsia"/>
                <w:bCs/>
                <w:color w:val="FF0000"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 xml:space="preserve"> NT$ </w:t>
            </w:r>
            <w:r w:rsidR="0047452D">
              <w:rPr>
                <w:rFonts w:ascii="微軟正黑體" w:eastAsia="微軟正黑體" w:hAnsi="微軟正黑體" w:cs="Calibri" w:hint="eastAsia"/>
                <w:bCs/>
                <w:color w:val="FF0000"/>
              </w:rPr>
              <w:t>3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,</w:t>
            </w:r>
            <w:r w:rsidR="0047452D">
              <w:rPr>
                <w:rFonts w:ascii="微軟正黑體" w:eastAsia="微軟正黑體" w:hAnsi="微軟正黑體" w:cs="Calibri" w:hint="eastAsia"/>
                <w:bCs/>
                <w:color w:val="FF0000"/>
              </w:rPr>
              <w:t>5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00</w:t>
            </w:r>
          </w:p>
        </w:tc>
      </w:tr>
      <w:tr w:rsidR="00EC7833" w:rsidRPr="001C5330" w14:paraId="2BF0D2CD" w14:textId="77777777" w:rsidTr="001C5330">
        <w:trPr>
          <w:cantSplit/>
          <w:trHeight w:val="393"/>
        </w:trPr>
        <w:tc>
          <w:tcPr>
            <w:tcW w:w="1206" w:type="dxa"/>
            <w:vAlign w:val="center"/>
          </w:tcPr>
          <w:p w14:paraId="6948A8FC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發票抬頭</w:t>
            </w:r>
          </w:p>
        </w:tc>
        <w:tc>
          <w:tcPr>
            <w:tcW w:w="8642" w:type="dxa"/>
            <w:gridSpan w:val="6"/>
            <w:vAlign w:val="center"/>
          </w:tcPr>
          <w:p w14:paraId="2387CDD9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56C374C7" w14:textId="77777777" w:rsidTr="001C5330">
        <w:trPr>
          <w:cantSplit/>
          <w:trHeight w:val="437"/>
        </w:trPr>
        <w:tc>
          <w:tcPr>
            <w:tcW w:w="1206" w:type="dxa"/>
            <w:vAlign w:val="center"/>
          </w:tcPr>
          <w:p w14:paraId="50D3DB90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統一編號</w:t>
            </w:r>
          </w:p>
        </w:tc>
        <w:tc>
          <w:tcPr>
            <w:tcW w:w="8642" w:type="dxa"/>
            <w:gridSpan w:val="6"/>
            <w:vAlign w:val="center"/>
          </w:tcPr>
          <w:p w14:paraId="6A9AFC06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4AA6F252" w14:textId="77777777" w:rsidTr="001C5330">
        <w:trPr>
          <w:cantSplit/>
          <w:trHeight w:val="705"/>
        </w:trPr>
        <w:tc>
          <w:tcPr>
            <w:tcW w:w="9848" w:type="dxa"/>
            <w:gridSpan w:val="7"/>
            <w:vAlign w:val="center"/>
          </w:tcPr>
          <w:p w14:paraId="2363E723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center"/>
              <w:outlineLvl w:val="4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以上報名費不含轉帳匯款手續費用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br/>
            </w:r>
            <w:r w:rsidRPr="001C5330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EC7833" w:rsidRPr="001C5330" w14:paraId="53981A05" w14:textId="77777777" w:rsidTr="001C5330">
        <w:trPr>
          <w:cantSplit/>
          <w:trHeight w:val="585"/>
        </w:trPr>
        <w:tc>
          <w:tcPr>
            <w:tcW w:w="1206" w:type="dxa"/>
            <w:vAlign w:val="center"/>
          </w:tcPr>
          <w:p w14:paraId="01AB0E02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付款方式</w:t>
            </w:r>
          </w:p>
          <w:p w14:paraId="1A450A84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6"/>
            <w:vAlign w:val="center"/>
          </w:tcPr>
          <w:p w14:paraId="65B12EBD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595AEFC3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</w:p>
          <w:p w14:paraId="10ACE349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0D2B1BFE" w14:textId="77777777" w:rsidR="00EC7833" w:rsidRPr="001C5330" w:rsidRDefault="00EC7833" w:rsidP="00EC7833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sz w:val="19"/>
          <w:szCs w:val="19"/>
        </w:rPr>
      </w:pPr>
      <w:r w:rsidRPr="001C5330">
        <w:rPr>
          <w:rFonts w:ascii="微軟正黑體" w:eastAsia="微軟正黑體" w:hAnsi="微軟正黑體" w:hint="eastAsia"/>
          <w:bCs/>
          <w:sz w:val="19"/>
          <w:szCs w:val="19"/>
        </w:rPr>
        <w:t>【注意事項】</w:t>
      </w:r>
    </w:p>
    <w:p w14:paraId="49DDA183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bookmarkStart w:id="0" w:name="OLE_LINK21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「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*</w:t>
      </w: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」項目請務必填寫，以利行前通知，或聯絡注意事項。</w:t>
      </w:r>
    </w:p>
    <w:p w14:paraId="5689E7F2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為尊重智財權，課程進行中禁止錄音、錄影。</w:t>
      </w:r>
    </w:p>
    <w:p w14:paraId="03940217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6020D14B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因學員個人因素，上課前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7天後即不得退費，但得轉讓、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轉課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、或保留。上課前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7天以上申請退費，退費時扣除手續費10%。</w:t>
      </w:r>
    </w:p>
    <w:p w14:paraId="660A1923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若退費因素為學會課程取消或延課因素，學會負擔退費之手續費。</w:t>
      </w:r>
    </w:p>
    <w:p w14:paraId="2C734D53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需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報帳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者，請務必填寫「公司抬頭」及「統一編號」欄，以利開立收據。</w:t>
      </w:r>
    </w:p>
    <w:p w14:paraId="5E6A3B6C" w14:textId="77777777" w:rsidR="00C2235C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團報時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每人仍需填一份資料，並加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註團報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聯絡人聯絡資料。</w:t>
      </w:r>
      <w:bookmarkEnd w:id="0"/>
    </w:p>
    <w:sectPr w:rsidR="00C2235C" w:rsidRPr="001C5330" w:rsidSect="0029729F">
      <w:headerReference w:type="default" r:id="rId14"/>
      <w:footerReference w:type="default" r:id="rId15"/>
      <w:pgSz w:w="11906" w:h="16838" w:code="9"/>
      <w:pgMar w:top="1440" w:right="1080" w:bottom="1440" w:left="1080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30AC8" w14:textId="77777777" w:rsidR="0029729F" w:rsidRDefault="0029729F">
      <w:r>
        <w:separator/>
      </w:r>
    </w:p>
  </w:endnote>
  <w:endnote w:type="continuationSeparator" w:id="0">
    <w:p w14:paraId="6CB90827" w14:textId="77777777" w:rsidR="0029729F" w:rsidRDefault="002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C9CA8" w14:textId="77777777" w:rsidR="00EC7833" w:rsidRDefault="00EC78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2882C1B5" w14:textId="77777777" w:rsidR="00EC7833" w:rsidRDefault="00EC7833">
    <w:pPr>
      <w:pStyle w:val="a5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8D32C" w14:textId="77777777" w:rsidR="0029729F" w:rsidRDefault="0029729F">
      <w:r>
        <w:separator/>
      </w:r>
    </w:p>
  </w:footnote>
  <w:footnote w:type="continuationSeparator" w:id="0">
    <w:p w14:paraId="54C5D44B" w14:textId="77777777" w:rsidR="0029729F" w:rsidRDefault="0029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723B6" w14:textId="2F794C12" w:rsidR="00EC7833" w:rsidRPr="00611571" w:rsidRDefault="002E46CC" w:rsidP="00EC7833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263FF" wp14:editId="5FCF5193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012F306" wp14:editId="0B4962E4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33" w:rsidRPr="00ED242D">
      <w:t xml:space="preserve"> </w:t>
    </w:r>
  </w:p>
  <w:p w14:paraId="2BC1E592" w14:textId="77777777" w:rsidR="00EC7833" w:rsidRDefault="00EC78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2.25pt" o:bullet="t">
        <v:imagedata r:id="rId1" o:title="WORD 標籤用"/>
      </v:shape>
    </w:pict>
  </w:numPicBullet>
  <w:abstractNum w:abstractNumId="0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0C05EA"/>
    <w:multiLevelType w:val="hybridMultilevel"/>
    <w:tmpl w:val="28C69A3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1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6963106">
    <w:abstractNumId w:val="3"/>
  </w:num>
  <w:num w:numId="2" w16cid:durableId="1651979768">
    <w:abstractNumId w:val="0"/>
  </w:num>
  <w:num w:numId="3" w16cid:durableId="705373447">
    <w:abstractNumId w:val="14"/>
  </w:num>
  <w:num w:numId="4" w16cid:durableId="774325360">
    <w:abstractNumId w:val="11"/>
  </w:num>
  <w:num w:numId="5" w16cid:durableId="877740739">
    <w:abstractNumId w:val="12"/>
  </w:num>
  <w:num w:numId="6" w16cid:durableId="1727335307">
    <w:abstractNumId w:val="5"/>
  </w:num>
  <w:num w:numId="7" w16cid:durableId="73556018">
    <w:abstractNumId w:val="15"/>
  </w:num>
  <w:num w:numId="8" w16cid:durableId="635765470">
    <w:abstractNumId w:val="21"/>
  </w:num>
  <w:num w:numId="9" w16cid:durableId="502358924">
    <w:abstractNumId w:val="4"/>
  </w:num>
  <w:num w:numId="10" w16cid:durableId="1200973520">
    <w:abstractNumId w:val="19"/>
  </w:num>
  <w:num w:numId="11" w16cid:durableId="176314500">
    <w:abstractNumId w:val="10"/>
  </w:num>
  <w:num w:numId="12" w16cid:durableId="412167555">
    <w:abstractNumId w:val="16"/>
  </w:num>
  <w:num w:numId="13" w16cid:durableId="1165247585">
    <w:abstractNumId w:val="1"/>
  </w:num>
  <w:num w:numId="14" w16cid:durableId="294062352">
    <w:abstractNumId w:val="6"/>
  </w:num>
  <w:num w:numId="15" w16cid:durableId="1548490513">
    <w:abstractNumId w:val="17"/>
  </w:num>
  <w:num w:numId="16" w16cid:durableId="181404896">
    <w:abstractNumId w:val="7"/>
  </w:num>
  <w:num w:numId="17" w16cid:durableId="771587252">
    <w:abstractNumId w:val="9"/>
  </w:num>
  <w:num w:numId="18" w16cid:durableId="1235359954">
    <w:abstractNumId w:val="22"/>
  </w:num>
  <w:num w:numId="19" w16cid:durableId="1905331915">
    <w:abstractNumId w:val="18"/>
  </w:num>
  <w:num w:numId="20" w16cid:durableId="750271209">
    <w:abstractNumId w:val="2"/>
  </w:num>
  <w:num w:numId="21" w16cid:durableId="841816788">
    <w:abstractNumId w:val="8"/>
  </w:num>
  <w:num w:numId="22" w16cid:durableId="1882934551">
    <w:abstractNumId w:val="23"/>
  </w:num>
  <w:num w:numId="23" w16cid:durableId="789738220">
    <w:abstractNumId w:val="13"/>
  </w:num>
  <w:num w:numId="24" w16cid:durableId="26713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768C5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C5330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333CB"/>
    <w:rsid w:val="00234B62"/>
    <w:rsid w:val="00236EDE"/>
    <w:rsid w:val="002427B3"/>
    <w:rsid w:val="0024444B"/>
    <w:rsid w:val="00255DC9"/>
    <w:rsid w:val="002579F0"/>
    <w:rsid w:val="00263450"/>
    <w:rsid w:val="00277E78"/>
    <w:rsid w:val="0028663F"/>
    <w:rsid w:val="0029729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2E46CC"/>
    <w:rsid w:val="00301FAE"/>
    <w:rsid w:val="00304AE5"/>
    <w:rsid w:val="00305793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92CB8"/>
    <w:rsid w:val="00394C66"/>
    <w:rsid w:val="003A23CA"/>
    <w:rsid w:val="003B4FFB"/>
    <w:rsid w:val="003C7B7D"/>
    <w:rsid w:val="003D14A5"/>
    <w:rsid w:val="003D39E5"/>
    <w:rsid w:val="003D79F8"/>
    <w:rsid w:val="003E45EB"/>
    <w:rsid w:val="003E5BC0"/>
    <w:rsid w:val="0040070B"/>
    <w:rsid w:val="0040111C"/>
    <w:rsid w:val="00401FA1"/>
    <w:rsid w:val="0040244C"/>
    <w:rsid w:val="00402A6C"/>
    <w:rsid w:val="0041026C"/>
    <w:rsid w:val="0041057D"/>
    <w:rsid w:val="00411447"/>
    <w:rsid w:val="00421D86"/>
    <w:rsid w:val="0043046A"/>
    <w:rsid w:val="0043536E"/>
    <w:rsid w:val="0043642C"/>
    <w:rsid w:val="0045289D"/>
    <w:rsid w:val="00464BA1"/>
    <w:rsid w:val="0046542A"/>
    <w:rsid w:val="00465805"/>
    <w:rsid w:val="0047452D"/>
    <w:rsid w:val="0048018B"/>
    <w:rsid w:val="00482365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E1D03"/>
    <w:rsid w:val="005F37BA"/>
    <w:rsid w:val="005F72FB"/>
    <w:rsid w:val="006032CB"/>
    <w:rsid w:val="00621542"/>
    <w:rsid w:val="006645D9"/>
    <w:rsid w:val="00664EB9"/>
    <w:rsid w:val="006653D0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31C"/>
    <w:rsid w:val="006D3F35"/>
    <w:rsid w:val="006D4EF9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4297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13E48"/>
    <w:rsid w:val="00817320"/>
    <w:rsid w:val="008173D6"/>
    <w:rsid w:val="00823EBF"/>
    <w:rsid w:val="008337C2"/>
    <w:rsid w:val="008423D8"/>
    <w:rsid w:val="00845647"/>
    <w:rsid w:val="00852CB3"/>
    <w:rsid w:val="00865C14"/>
    <w:rsid w:val="008662F2"/>
    <w:rsid w:val="00874A1C"/>
    <w:rsid w:val="00882675"/>
    <w:rsid w:val="00882F12"/>
    <w:rsid w:val="008863B5"/>
    <w:rsid w:val="0089094F"/>
    <w:rsid w:val="0089677E"/>
    <w:rsid w:val="008A40B5"/>
    <w:rsid w:val="008C093C"/>
    <w:rsid w:val="008C44B8"/>
    <w:rsid w:val="008C7515"/>
    <w:rsid w:val="008D0B9E"/>
    <w:rsid w:val="008E2FEE"/>
    <w:rsid w:val="008F49A2"/>
    <w:rsid w:val="00901AB3"/>
    <w:rsid w:val="00907996"/>
    <w:rsid w:val="00916910"/>
    <w:rsid w:val="00920DC0"/>
    <w:rsid w:val="009223DB"/>
    <w:rsid w:val="00925EE7"/>
    <w:rsid w:val="00940F75"/>
    <w:rsid w:val="00941C10"/>
    <w:rsid w:val="00941DC6"/>
    <w:rsid w:val="009454EA"/>
    <w:rsid w:val="0094614A"/>
    <w:rsid w:val="0095276C"/>
    <w:rsid w:val="00955C16"/>
    <w:rsid w:val="0096155A"/>
    <w:rsid w:val="0096754C"/>
    <w:rsid w:val="00971B5E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7CAD"/>
    <w:rsid w:val="00A060F7"/>
    <w:rsid w:val="00A0748A"/>
    <w:rsid w:val="00A10E07"/>
    <w:rsid w:val="00A158C7"/>
    <w:rsid w:val="00A17850"/>
    <w:rsid w:val="00A25642"/>
    <w:rsid w:val="00A2582E"/>
    <w:rsid w:val="00A272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712A5"/>
    <w:rsid w:val="00C72D9C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F2FFF"/>
    <w:rsid w:val="00D0373B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CCC"/>
    <w:rsid w:val="00E75D28"/>
    <w:rsid w:val="00E77117"/>
    <w:rsid w:val="00E811D7"/>
    <w:rsid w:val="00E96254"/>
    <w:rsid w:val="00EB573F"/>
    <w:rsid w:val="00EB6AA4"/>
    <w:rsid w:val="00EC7833"/>
    <w:rsid w:val="00EE0764"/>
    <w:rsid w:val="00EE285B"/>
    <w:rsid w:val="00EE5206"/>
    <w:rsid w:val="00EF38C1"/>
    <w:rsid w:val="00EF71AA"/>
    <w:rsid w:val="00F00BEF"/>
    <w:rsid w:val="00F04357"/>
    <w:rsid w:val="00F12A0A"/>
    <w:rsid w:val="00F33D8F"/>
    <w:rsid w:val="00F35BBF"/>
    <w:rsid w:val="00F42DA5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E399182"/>
  <w15:chartTrackingRefBased/>
  <w15:docId w15:val="{4D4D488A-26B0-4933-BE28-D38DD90C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uiPriority w:val="99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EC7833"/>
    <w:rPr>
      <w:kern w:val="2"/>
    </w:rPr>
  </w:style>
  <w:style w:type="paragraph" w:styleId="ae">
    <w:name w:val="List Paragraph"/>
    <w:basedOn w:val="a"/>
    <w:uiPriority w:val="34"/>
    <w:qFormat/>
    <w:rsid w:val="00EC7833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EC7833"/>
    <w:rPr>
      <w:kern w:val="2"/>
    </w:rPr>
  </w:style>
  <w:style w:type="character" w:styleId="af">
    <w:name w:val="Strong"/>
    <w:qFormat/>
    <w:rsid w:val="00E75CCC"/>
    <w:rPr>
      <w:b/>
      <w:bCs/>
    </w:rPr>
  </w:style>
  <w:style w:type="paragraph" w:styleId="Web">
    <w:name w:val="Normal (Web)"/>
    <w:basedOn w:val="a"/>
    <w:rsid w:val="008E2F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Unresolved Mention"/>
    <w:basedOn w:val="a0"/>
    <w:uiPriority w:val="99"/>
    <w:semiHidden/>
    <w:unhideWhenUsed/>
    <w:rsid w:val="008C7515"/>
    <w:rPr>
      <w:color w:val="605E5C"/>
      <w:shd w:val="clear" w:color="auto" w:fill="E1DFDD"/>
    </w:rPr>
  </w:style>
  <w:style w:type="character" w:styleId="af1">
    <w:name w:val="FollowedHyperlink"/>
    <w:basedOn w:val="a0"/>
    <w:rsid w:val="008C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ystematic-innovation.org/index.php/zh-tw/course/course-general/course-20240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D520-3237-4D0D-A4FF-2525F70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2023</Words>
  <Characters>792</Characters>
  <Application>Microsoft Office Word</Application>
  <DocSecurity>0</DocSecurity>
  <Lines>6</Lines>
  <Paragraphs>5</Paragraphs>
  <ScaleCrop>false</ScaleCrop>
  <Company>CMT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桃園縣工業會2010年訓練計畫一覽表</dc:title>
  <dc:subject/>
  <dc:creator>桃園縣工業會</dc:creator>
  <cp:keywords/>
  <cp:lastModifiedBy>Chiaoling NI</cp:lastModifiedBy>
  <cp:revision>3</cp:revision>
  <cp:lastPrinted>2022-07-15T14:12:00Z</cp:lastPrinted>
  <dcterms:created xsi:type="dcterms:W3CDTF">2024-02-07T03:33:00Z</dcterms:created>
  <dcterms:modified xsi:type="dcterms:W3CDTF">2024-02-17T04:10:00Z</dcterms:modified>
</cp:coreProperties>
</file>