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CB0" w14:textId="361AAE8F" w:rsidR="00262C19" w:rsidRPr="005318B5" w:rsidRDefault="00262C19" w:rsidP="00262C19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40"/>
          <w:szCs w:val="40"/>
        </w:rPr>
      </w:pPr>
      <w:r w:rsidRPr="005318B5">
        <w:rPr>
          <w:rFonts w:ascii="微軟正黑體" w:eastAsia="微軟正黑體" w:hAnsi="微軟正黑體" w:hint="eastAsia"/>
          <w:b/>
          <w:color w:val="0C02CE"/>
          <w:sz w:val="40"/>
          <w:szCs w:val="40"/>
        </w:rPr>
        <w:t>生管、物管實務技巧方法</w:t>
      </w:r>
    </w:p>
    <w:p w14:paraId="1BC77435" w14:textId="30655937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2025/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9/5 (週五)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262C19" w:rsidRPr="00C51F0E">
        <w:rPr>
          <w:rFonts w:ascii="微軟正黑體" w:eastAsia="微軟正黑體" w:hAnsi="微軟正黑體" w:hint="eastAsia"/>
          <w:b/>
          <w:color w:val="0C02CE"/>
        </w:rPr>
        <w:t>9:00-17:00，計7小時。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B97F389" w14:textId="77777777" w:rsidR="00262C19" w:rsidRDefault="00262C19" w:rsidP="00C14263">
      <w:pPr>
        <w:widowControl/>
        <w:snapToGrid w:val="0"/>
        <w:spacing w:afterLines="50" w:after="180" w:line="26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1F66B6C6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說明</w:t>
      </w:r>
    </w:p>
    <w:p w14:paraId="427E81E7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在企業製造管理系統中，生管與物管佔著重要一環，也是工廠實際運作順利與否的重要關鍵，生管扮演著產銷協調的橋樑，物管則負責材料之供應管理，對於生產中所需的原料（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raw material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）、半成品（或在製品），加以規劃、協調、與控制，以使生產／作業系統更加順暢，進而達到提高生產力、品質、效率、彈性等目標。本課程藉由實務教學、理論引導，希望藉此培育製造業製造管理人才，學以致用增進產業競爭力。</w:t>
      </w:r>
    </w:p>
    <w:p w14:paraId="0A4A48B2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ED39CF8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特色</w:t>
      </w:r>
    </w:p>
    <w:p w14:paraId="7739BACB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產管理、物料管理、運籌管理、供應鏈管理、製造部門及資訊系統等部門人員研習。課程結合了理論及實務經驗，完整呈現生管與物管的實務技巧方法，透過本課程的介紹，將能帶領您學會有效作好訂單答交、產銷協調、主生產排程、重排程、工程變更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(Engineering Change)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之控管、材料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ABC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分類管理、安全存量之設定及專用料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(Unique part) 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之控管，以符合工廠實際運作順利與企業製造管理的需求。</w:t>
      </w:r>
    </w:p>
    <w:p w14:paraId="7CC002BE" w14:textId="77777777" w:rsidR="00262C19" w:rsidRPr="00433221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6D361CBF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適合對象</w:t>
      </w:r>
    </w:p>
    <w:p w14:paraId="4FF9B09D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本課程特別適合製造業之生管、物料管理、資材管理、生產管理部門、運籌管理、供應鏈管理、業務、製造部門及資訊系統等部門人員研習。</w:t>
      </w:r>
    </w:p>
    <w:p w14:paraId="38F96029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1EAD8AA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課程大綱</w:t>
      </w:r>
    </w:p>
    <w:p w14:paraId="3986CE7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1. 生管如何作訂單答交 (Order commitments) ─ 押交期 </w:t>
      </w:r>
    </w:p>
    <w:p w14:paraId="03AAB9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2. 生管如何與業務作好產銷協調 </w:t>
      </w:r>
    </w:p>
    <w:p w14:paraId="479514D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訂單變更─取消訂單、訂單數量增加或減少、訂單交期提早或延後、客戶更改產品規格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D4DA54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 (Rush order、Hot order、Hot lot) </w:t>
      </w:r>
    </w:p>
    <w:p w14:paraId="66CB0DA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銷售預測不準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6D6BC1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生產零頭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46FAC00E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3. 生管如何作日(細部)生產排程(Production schedule) </w:t>
      </w:r>
    </w:p>
    <w:p w14:paraId="1CA6C30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4. 生管如何運用生產排程派工法則 (Dispatching rule) </w:t>
      </w:r>
    </w:p>
    <w:p w14:paraId="449503F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lastRenderedPageBreak/>
        <w:t xml:space="preserve">(1). EDD </w:t>
      </w:r>
    </w:p>
    <w:p w14:paraId="23C5F0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(2). SPT </w:t>
      </w:r>
    </w:p>
    <w:p w14:paraId="7BA63DD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WSPT </w:t>
      </w:r>
    </w:p>
    <w:p w14:paraId="339E9D85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CR </w:t>
      </w:r>
    </w:p>
    <w:p w14:paraId="670DD7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5.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生管針對生產異常狀況如何作重排程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(Rescheduling) </w:t>
      </w:r>
    </w:p>
    <w:p w14:paraId="190F32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70B0C1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緊急訂單插入  </w:t>
      </w:r>
    </w:p>
    <w:p w14:paraId="7DDBE26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(3). 機器故障 (Machine break down) </w:t>
      </w:r>
    </w:p>
    <w:p w14:paraId="7789D35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6.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物管如何作好材料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>ABC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分類、庫存管理、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Cycle count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盤點</w:t>
      </w:r>
    </w:p>
    <w:p w14:paraId="7D7DEB40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7. 永續盤存制 </w:t>
      </w:r>
    </w:p>
    <w:p w14:paraId="62B6E21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8.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再訂購點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(ROP; Re-Order Point)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D0BB51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9. 定期盤存制 </w:t>
      </w:r>
    </w:p>
    <w:p w14:paraId="652E0F8F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10.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物料需求規劃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(MRP; Materials Requirement Planning)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317DE9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11.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物管如何設定安全存量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(Safety stock)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避免缺料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5C3AB3D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12.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物管如何降低消除及處理呆滯料問題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2E8D0F3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13.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業務接單涉及客戶指定用料，材料控管問題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48D727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14.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實例演練‧結論及綜合研討</w:t>
      </w:r>
    </w:p>
    <w:p w14:paraId="716D35FD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05BD275F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 xml:space="preserve">課程講師 : </w:t>
      </w:r>
      <w:r w:rsidRPr="002A4787">
        <w:rPr>
          <w:rFonts w:ascii="微軟正黑體" w:eastAsia="微軟正黑體" w:hAnsi="微軟正黑體" w:cs="新細明體" w:hint="eastAsia"/>
          <w:bCs/>
          <w:color w:val="000000"/>
          <w:kern w:val="0"/>
          <w:sz w:val="28"/>
          <w:szCs w:val="28"/>
        </w:rPr>
        <w:t>歐陽老師</w:t>
      </w:r>
    </w:p>
    <w:p w14:paraId="449C0FC0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21500FB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73176588" w14:textId="17CDC866" w:rsidR="00C14263" w:rsidRDefault="00262C19" w:rsidP="00701D93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701D93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="00C14263">
        <w:rPr>
          <w:rFonts w:ascii="微軟正黑體" w:eastAsia="微軟正黑體" w:hAnsi="微軟正黑體" w:cs="新細明體"/>
          <w:bCs/>
          <w:color w:val="000000"/>
          <w:kern w:val="0"/>
        </w:rPr>
        <w:br w:type="page"/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6B1E85B" w:rsidR="00611571" w:rsidRPr="00B806DC" w:rsidRDefault="00611571" w:rsidP="00262C19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時間：</w:t>
      </w:r>
      <w:r w:rsidR="00635862" w:rsidRPr="00635862">
        <w:rPr>
          <w:rFonts w:ascii="微軟正黑體" w:eastAsia="微軟正黑體" w:hAnsi="微軟正黑體" w:hint="eastAsia"/>
          <w:bCs/>
          <w:color w:val="0000FF"/>
        </w:rPr>
        <w:t>2025/</w:t>
      </w:r>
      <w:r w:rsidR="00841600" w:rsidRPr="00841600">
        <w:rPr>
          <w:rFonts w:ascii="微軟正黑體" w:eastAsia="微軟正黑體" w:hAnsi="微軟正黑體" w:hint="eastAsia"/>
          <w:bCs/>
          <w:color w:val="0000FF"/>
        </w:rPr>
        <w:t>9/5 (週五)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 xml:space="preserve"> 9:00-17:00，計7小時。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34AC1905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5318B5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61FE20F" w:rsidR="00611571" w:rsidRPr="00C14263" w:rsidRDefault="00262C19" w:rsidP="00C14263">
            <w:pPr>
              <w:snapToGrid w:val="0"/>
              <w:ind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C51F0E">
              <w:rPr>
                <w:rFonts w:ascii="微軟正黑體" w:eastAsia="微軟正黑體" w:hAnsi="微軟正黑體" w:hint="eastAsia"/>
                <w:bCs/>
                <w:color w:val="0C02CE"/>
                <w:sz w:val="32"/>
                <w:szCs w:val="32"/>
              </w:rPr>
              <w:t>生管、物管實務技巧方法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ECCEEE5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262C19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5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4E77" w14:textId="77777777" w:rsidR="00221C6B" w:rsidRDefault="00221C6B">
      <w:r>
        <w:separator/>
      </w:r>
    </w:p>
  </w:endnote>
  <w:endnote w:type="continuationSeparator" w:id="0">
    <w:p w14:paraId="15627881" w14:textId="77777777" w:rsidR="00221C6B" w:rsidRDefault="0022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AC39" w14:textId="77777777" w:rsidR="00221C6B" w:rsidRDefault="00221C6B">
      <w:r>
        <w:separator/>
      </w:r>
    </w:p>
  </w:footnote>
  <w:footnote w:type="continuationSeparator" w:id="0">
    <w:p w14:paraId="1A59077F" w14:textId="77777777" w:rsidR="00221C6B" w:rsidRDefault="0022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2EE0"/>
    <w:rsid w:val="001278A4"/>
    <w:rsid w:val="001357B1"/>
    <w:rsid w:val="00147596"/>
    <w:rsid w:val="00152D9C"/>
    <w:rsid w:val="00153F82"/>
    <w:rsid w:val="00154784"/>
    <w:rsid w:val="00160F5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1C6B"/>
    <w:rsid w:val="00223A8E"/>
    <w:rsid w:val="00224627"/>
    <w:rsid w:val="002333CB"/>
    <w:rsid w:val="00234B62"/>
    <w:rsid w:val="00236EDE"/>
    <w:rsid w:val="0024444B"/>
    <w:rsid w:val="00255DC9"/>
    <w:rsid w:val="002579F0"/>
    <w:rsid w:val="00262C19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18B5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37F2"/>
    <w:rsid w:val="005F37BA"/>
    <w:rsid w:val="005F72FB"/>
    <w:rsid w:val="006032CB"/>
    <w:rsid w:val="00611571"/>
    <w:rsid w:val="006120D7"/>
    <w:rsid w:val="00621542"/>
    <w:rsid w:val="00624863"/>
    <w:rsid w:val="00635862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D69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01D93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75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1600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35B2B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2146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267E"/>
    <w:rsid w:val="00BB4BE9"/>
    <w:rsid w:val="00BC32EF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47C23"/>
    <w:rsid w:val="00E51CC6"/>
    <w:rsid w:val="00E53272"/>
    <w:rsid w:val="00E55283"/>
    <w:rsid w:val="00E5559B"/>
    <w:rsid w:val="00E73EA0"/>
    <w:rsid w:val="00E75D28"/>
    <w:rsid w:val="00E811D7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B76B0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531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3</cp:revision>
  <cp:lastPrinted>2022-07-15T14:12:00Z</cp:lastPrinted>
  <dcterms:created xsi:type="dcterms:W3CDTF">2025-06-02T05:56:00Z</dcterms:created>
  <dcterms:modified xsi:type="dcterms:W3CDTF">2025-06-02T05:57:00Z</dcterms:modified>
</cp:coreProperties>
</file>